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7D1" w:rsidRDefault="003777D1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3777D1" w:rsidRDefault="003777D1">
      <w:pPr>
        <w:pStyle w:val="ConsPlusTitle"/>
        <w:jc w:val="center"/>
      </w:pPr>
    </w:p>
    <w:p w:rsidR="003777D1" w:rsidRDefault="003777D1">
      <w:pPr>
        <w:pStyle w:val="ConsPlusTitle"/>
        <w:jc w:val="center"/>
      </w:pPr>
      <w:r>
        <w:t>ФЕДЕРАЛЬНОЕ КАЗНАЧЕЙСТВО</w:t>
      </w:r>
    </w:p>
    <w:p w:rsidR="003777D1" w:rsidRDefault="003777D1">
      <w:pPr>
        <w:pStyle w:val="ConsPlusTitle"/>
        <w:jc w:val="center"/>
      </w:pPr>
    </w:p>
    <w:p w:rsidR="003777D1" w:rsidRDefault="003777D1">
      <w:pPr>
        <w:pStyle w:val="ConsPlusTitle"/>
        <w:jc w:val="center"/>
      </w:pPr>
      <w:r>
        <w:t>ПРИКАЗ</w:t>
      </w:r>
    </w:p>
    <w:p w:rsidR="003777D1" w:rsidRDefault="003777D1">
      <w:pPr>
        <w:pStyle w:val="ConsPlusTitle"/>
        <w:jc w:val="center"/>
      </w:pPr>
      <w:r>
        <w:t>от 20 ноября 2023 г. N 24н</w:t>
      </w:r>
    </w:p>
    <w:p w:rsidR="003777D1" w:rsidRDefault="003777D1">
      <w:pPr>
        <w:pStyle w:val="ConsPlusTitle"/>
        <w:jc w:val="center"/>
      </w:pPr>
    </w:p>
    <w:p w:rsidR="003777D1" w:rsidRDefault="003777D1">
      <w:pPr>
        <w:pStyle w:val="ConsPlusTitle"/>
        <w:jc w:val="center"/>
      </w:pPr>
      <w:r>
        <w:t>ОБ УТВЕРЖДЕНИИ ПОРЯДКА</w:t>
      </w:r>
    </w:p>
    <w:p w:rsidR="003777D1" w:rsidRDefault="003777D1">
      <w:pPr>
        <w:pStyle w:val="ConsPlusTitle"/>
        <w:jc w:val="center"/>
      </w:pPr>
      <w:r>
        <w:t>ПРОВЕДЕНИЯ ФЕДЕРАЛЬНЫМ КАЗНАЧЕЙСТВОМ ОЦЕНКИ РИСКОВ</w:t>
      </w:r>
    </w:p>
    <w:p w:rsidR="003777D1" w:rsidRDefault="003777D1">
      <w:pPr>
        <w:pStyle w:val="ConsPlusTitle"/>
        <w:jc w:val="center"/>
      </w:pPr>
      <w:r>
        <w:t>СОВЕРШЕНИЯ ОПЕРАЦИЙ (СДЕЛОК) В ЦЕЛЯХ ЛЕГАЛИЗАЦИИ (ОТМЫВАНИЯ)</w:t>
      </w:r>
    </w:p>
    <w:p w:rsidR="003777D1" w:rsidRDefault="003777D1">
      <w:pPr>
        <w:pStyle w:val="ConsPlusTitle"/>
        <w:jc w:val="center"/>
      </w:pPr>
      <w:r>
        <w:t>ДОХОДОВ, ПОЛУЧЕННЫХ ПРЕСТУПНЫМ ПУТЕМ, И ФИНАНСИРОВАНИЯ</w:t>
      </w:r>
    </w:p>
    <w:p w:rsidR="003777D1" w:rsidRDefault="003777D1">
      <w:pPr>
        <w:pStyle w:val="ConsPlusTitle"/>
        <w:jc w:val="center"/>
      </w:pPr>
      <w:r>
        <w:t>ТЕРРОРИЗМА ПО СЕКТОРУ ЭКОНОМИЧЕСКОЙ ДЕЯТЕЛЬНОСТИ</w:t>
      </w:r>
    </w:p>
    <w:p w:rsidR="003777D1" w:rsidRDefault="003777D1">
      <w:pPr>
        <w:pStyle w:val="ConsPlusTitle"/>
        <w:jc w:val="center"/>
      </w:pPr>
      <w:r>
        <w:t>(СЕКТОРАЛЬНАЯ ОЦЕНКА РИСКОВ)</w:t>
      </w: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ind w:firstLine="540"/>
        <w:jc w:val="both"/>
      </w:pPr>
      <w:r>
        <w:t xml:space="preserve">На основании </w:t>
      </w:r>
      <w:hyperlink r:id="rId4">
        <w:r>
          <w:rPr>
            <w:color w:val="0000FF"/>
          </w:rPr>
          <w:t>абзаца второго пункта 4 статьи 9.1</w:t>
        </w:r>
      </w:hyperlink>
      <w:r>
        <w:t xml:space="preserve"> Федерального закона от 7 августа 2001 г. N 115-ФЗ "О противодействии легализации (отмыванию) доходов, полученных преступным путем, и финансированию терроризма", </w:t>
      </w:r>
      <w:hyperlink r:id="rId5">
        <w:r>
          <w:rPr>
            <w:color w:val="0000FF"/>
          </w:rPr>
          <w:t>пункта 1</w:t>
        </w:r>
      </w:hyperlink>
      <w:r>
        <w:t xml:space="preserve"> Положения о Федеральном казначействе, утвержденного постановлением Правительства Российской Федерации от 1 декабря 2004 г. N 703, приказываю: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утвердить </w:t>
      </w:r>
      <w:hyperlink w:anchor="P32">
        <w:r>
          <w:rPr>
            <w:color w:val="0000FF"/>
          </w:rPr>
          <w:t>Порядок</w:t>
        </w:r>
      </w:hyperlink>
      <w:r>
        <w:t xml:space="preserve"> проведения Федеральным казначейством оценки рисков совершения операций (сделок) в целях легализации (отмывания) доходов, полученных преступным путем, и финансирования терроризма по сектору экономической деятельности (секторальная оценка рисков).</w:t>
      </w: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jc w:val="right"/>
      </w:pPr>
      <w:r>
        <w:t>Руководитель</w:t>
      </w:r>
    </w:p>
    <w:p w:rsidR="003777D1" w:rsidRDefault="003777D1">
      <w:pPr>
        <w:pStyle w:val="ConsPlusNormal"/>
        <w:jc w:val="right"/>
      </w:pPr>
      <w:r>
        <w:t>Р.Е.АРТЮХИН</w:t>
      </w: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jc w:val="right"/>
        <w:outlineLvl w:val="0"/>
      </w:pPr>
      <w:r>
        <w:t>Утвержден</w:t>
      </w:r>
    </w:p>
    <w:p w:rsidR="003777D1" w:rsidRDefault="003777D1">
      <w:pPr>
        <w:pStyle w:val="ConsPlusNormal"/>
        <w:jc w:val="right"/>
      </w:pPr>
      <w:r>
        <w:t>приказом Федерального казначейства</w:t>
      </w:r>
    </w:p>
    <w:p w:rsidR="003777D1" w:rsidRDefault="003777D1">
      <w:pPr>
        <w:pStyle w:val="ConsPlusNormal"/>
        <w:jc w:val="right"/>
      </w:pPr>
      <w:r>
        <w:t>от 20 ноября 2023 г. N 24н</w:t>
      </w: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Title"/>
        <w:jc w:val="center"/>
      </w:pPr>
      <w:bookmarkStart w:id="1" w:name="P32"/>
      <w:bookmarkEnd w:id="1"/>
      <w:r>
        <w:t>ПОРЯДОК</w:t>
      </w:r>
    </w:p>
    <w:p w:rsidR="003777D1" w:rsidRDefault="003777D1">
      <w:pPr>
        <w:pStyle w:val="ConsPlusTitle"/>
        <w:jc w:val="center"/>
      </w:pPr>
      <w:r>
        <w:t>ПРОВЕДЕНИЯ ФЕДЕРАЛЬНЫМ КАЗНАЧЕЙСТВОМ ОЦЕНКИ РИСКОВ</w:t>
      </w:r>
    </w:p>
    <w:p w:rsidR="003777D1" w:rsidRDefault="003777D1">
      <w:pPr>
        <w:pStyle w:val="ConsPlusTitle"/>
        <w:jc w:val="center"/>
      </w:pPr>
      <w:r>
        <w:t>СОВЕРШЕНИЯ ОПЕРАЦИЙ (СДЕЛОК) В ЦЕЛЯХ ЛЕГАЛИЗАЦИИ (ОТМЫВАНИЯ)</w:t>
      </w:r>
    </w:p>
    <w:p w:rsidR="003777D1" w:rsidRDefault="003777D1">
      <w:pPr>
        <w:pStyle w:val="ConsPlusTitle"/>
        <w:jc w:val="center"/>
      </w:pPr>
      <w:r>
        <w:t>ДОХОДОВ, ПОЛУЧЕННЫХ ПРЕСТУПНЫМ ПУТЕМ, И ФИНАНСИРОВАНИЯ</w:t>
      </w:r>
    </w:p>
    <w:p w:rsidR="003777D1" w:rsidRDefault="003777D1">
      <w:pPr>
        <w:pStyle w:val="ConsPlusTitle"/>
        <w:jc w:val="center"/>
      </w:pPr>
      <w:r>
        <w:t>ТЕРРОРИЗМА ПО СЕКТОРУ ЭКОНОМИЧЕСКОЙ ДЕЯТЕЛЬНОСТИ</w:t>
      </w:r>
    </w:p>
    <w:p w:rsidR="003777D1" w:rsidRDefault="003777D1">
      <w:pPr>
        <w:pStyle w:val="ConsPlusTitle"/>
        <w:jc w:val="center"/>
      </w:pPr>
      <w:r>
        <w:t>(СЕКТОРАЛЬНАЯ ОЦЕНКА РИСКОВ)</w:t>
      </w: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ind w:firstLine="540"/>
        <w:jc w:val="both"/>
      </w:pPr>
      <w:r>
        <w:t>1. Настоящий Порядок проведения Федеральным казначейством оценки рисков совершения операций (сделок) в целях легализации (отмывания) доходов, полученных преступным путем, и финансирования терроризма по сектору экономической деятельности (секторальная оценка рисков) устанавливает комплекс мероприятий по осуществлению Федеральным казначейством с участием саморегулируемой организации аудиторов секторальной оценки рисков легализации (отмывания) доходов, полученных преступным путем, и финансирования терроризма в сфере деятельности по проведению финансового аудита (далее соответственно - СОР, сектор).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2. Оценка рисков совершения операций (сделок) в целях легализации (отмывания) доходов, полученных преступным путем, и финансирования терроризма (далее - ОД и ФТ) в секторе проводится с целью: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lastRenderedPageBreak/>
        <w:t>определения факторов подверженности рискам ОД и ФТ сектора;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актуализации параметров модели оценки рисков, утвержденной Федеральным казначейством в соответствии с </w:t>
      </w:r>
      <w:hyperlink r:id="rId6">
        <w:r>
          <w:rPr>
            <w:color w:val="0000FF"/>
          </w:rPr>
          <w:t>Положением</w:t>
        </w:r>
      </w:hyperlink>
      <w:r>
        <w:t xml:space="preserve"> о контроле (надзоре)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утвержденным постановлением Правительства Российской Федерации от 19 февраля 2022 г. N 219;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определения динамики уровня риска ОД и ФТ в секторе в целом;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ранжирования отдельных сегментов (видов деятельности) в секторе по уровню риска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определения степени внимания, которое необходимо уделять соответствующим сегментам (видам деятельности);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оценки эффективности мер, принятых для снижения рисков ОД и ФТ в секторе по результатам национальной оценки рисков легализации (отмывания) преступных доходов и финансирования терроризма, проводимой в соответствии с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7 августа 2001 г. N 115-ФЗ "О противодействии легализации (отмыванию) доходов, полученных преступным путем, и финансированию терроризма" (далее - Федеральный закон N 115-ФЗ) и предыдущей СОР;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выработки мер для снижения рисков ОД и ФТ в секторе;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информирования сектора о новых рисках (типологиях) ОД и ФТ.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3. Основанием для проведения СОР является акт Федерального казначейства о проведении СОР (далее - акт).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4. Акт должен содержать следующие сведения: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фамилии, имена, отчества (при наличии) и должности сотрудников Федерального казначейства, обеспечивающих проведение СОР, а также формирование результатов СОР;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сроки проведения СОР и ее отдельных этапов.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5. Федеральным казначейством при проведении СОР используются следующие внутренние источники информации: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результаты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- ПОД/ФТ/ФРОМУ) и внешнего контроля деятельности, осуществляемого в отношении аудиторских организаций, оказывающих аудиторские услуги общественно значимым организациям;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результаты анализа и обобщения правоприменительной практики;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агрегированные данные анкетирования (опроса) аудиторских организаций и индивидуальных аудиторов (далее - субъекты аудиторской деятельности), получаемые в том числе посредством Личного кабинета на официальном сайте Федеральной службы по финансовому мониторингу (далее - уполномоченный орган) в информационно-телекоммуникационной сети "Интернет";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выявленные типологии и схемы ОД и ФТ с участием субъектов аудиторской деятельности;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результаты анализа сведений в отношении субъектов аудиторской деятельности, полученных от граждан и органов государственной власти, указывающих на наличие риска совершения </w:t>
      </w:r>
      <w:r>
        <w:lastRenderedPageBreak/>
        <w:t>операций в целях ОД и ФТ.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6. Федеральным казначейством при проведении СОР используются следующие внешние открытые источники информации: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результаты национальной оценки рисков легализации (отмывания) преступных доходов и финансирования терроризма, проводимой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N 115-ФЗ;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информация по результатам дистанционного мониторинга, осуществляемого уполномоченным органом в отношении субъектов аудиторской деятельности;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статистические данные федеральных органов исполнительной власти (организаций), саморегулируемой организации аудиторов;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данные Федеральной налоговой службы, в том числе о субъектах малого и среднего предпринимательства;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результаты аналитических исследований, проводимых рейтинговыми, информационно-аналитическими агентствами, в том числе в отношении сектора;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решения Межведомственной комиссии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- Межведомственная комиссия);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решения Межведомственной рабочей группы по противодействию незаконным финансовым операциям;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решения Международного совета </w:t>
      </w:r>
      <w:proofErr w:type="spellStart"/>
      <w:r>
        <w:t>комплаенс</w:t>
      </w:r>
      <w:proofErr w:type="spellEnd"/>
      <w:r>
        <w:t xml:space="preserve"> Евразийской группы по противодействию легализации преступных доходов и финансированию терроризма.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Статистические данные саморегулируемой организации аудиторов о деятельности ее членов, результаты контроля (надзора) в сфере ПОД/ФТ/ФРОМУ и внешнего контроля деятельности, осуществляемого в отношении субъектов аудиторской деятельности, представляются саморегулируемой организацией аудиторов в срок, установленный запросом Федерального казначейства. Федеральным казначейством могут направляться запросы о предоставлении дополнительной информации, необходимой для проведения СОР.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7. СОР состоит из следующих этапов: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описание сектора и его структуры;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уровня угроз ОД и ФТ в секторе;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уровня уязвимости сектора рискам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последствий материализации рисков ОД и ФТ в секторе;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уровня рисков ОД и ФТ в секторе;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формирование и обсуждение результатов СОР;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оформление отчета о результатах СОР.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7.1. Целью этапа описания сектора и его структуры является определение и оценка (анализ) данных, характеризующих сектор, включая: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особенности институциональной организации сектора (в том числе регулирование и надзор);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lastRenderedPageBreak/>
        <w:t>оценка значимости сектора в экономике;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значимости сектора и его отдельных сегментов (видов деятельности) в национальной системе противодействия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определение в секторе отдельных сегментов (видов деятельности), в том числе по масштабам деятельности, структуре клиентской базы, месту осуществления деятельности.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При оценке значимости сектора и его отдельных сегментов (видов деятельности) в экономике используются показатели, характеризующие рынок аудиторских услуг, тенденции развития аудиторской деятельности в Российской Федерации, а также результаты опроса (анкетирования) субъектов аудиторской деятельности.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При описании сектора анализируются особенности регулирования аудиторской деятельности и контроля (надзора) в сфере ПОД/ФТ/ФРОМУ, осуществляемого Федеральным казначейством и саморегулируемой организацией аудиторов в отношении субъектов аудиторской деятельности.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7.2. На этапе оценки уровня угроз ОД и ФТ в секторе осуществляется оценка уровня криминализации экономики в целом и сектора в отдельности, характеристика условий, в которых могут совершаться предикатные к ОД и ФТ преступления с участием сектора.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уровня угроз ОД и ФТ включает следующие мероприятия: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а) формирование и анализ статистических и иных данных: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делам о легализации (отмывании) преступных доходов, предикатным к легализации (отмыванию) преступных доходов преступлениям, в разрезе видов преступлений, преступлениям финансирования терроризма с использованием сектора в целом, а также его отдельных сегментов (видов деятельности);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динамике количества запросов правоохранительных, налоговых органов, органов прокуратуры, иных государственных органов;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динамике количества обращений граждан, публикаций в средствах массовой информации, в которых содержатся сведения о возможном совершении преступлений с использованием сектора;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результатам контроля (надзора) в сфере ПОД/ФТ/ФРОМУ, осуществляемого Федеральным казначейством и саморегулируемой организацией аудиторов в отношении субъектов аудиторской деятельности.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результатам такого анализа делается вывод об изменении уровня криминализации сектора.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б) подбор обезличенных примеров (кейсов) уголовных дел, которые демонстрируют алгоритм действий преступников;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в) формирование и анализ результатов анкетирования (опроса) субъектов аудиторской деятельности, должностных лиц Федерального казначейства и его территориальных органов, осуществляющих контроль (надзор) в сфере ПОД/ФТ/ФРОМУ в отношении аудиторских организаций, оказывающих аудиторские услуги общественно значимым организациям, должностных лиц саморегулируемой организации аудиторов, осуществляющих контроль (надзор) в сфере ПОД/ФТ/ФРОМУ в отношении субъектов аудиторской деятельности (далее - должностные лица контрольных (надзорных) органов) относительно уровня угроз ОД и ФТ в секторе.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По итогам этого этапа на основе данных об уровне угроз ОД и ФТ в секторе, определенных по </w:t>
      </w:r>
      <w:r>
        <w:lastRenderedPageBreak/>
        <w:t>результатам предыдущей секторальной оценки рисков ОД и ФТ, а также результатов анализа статистических данных и результатов анкетирования (опроса) субъектов аудиторской деятельности, должностных лиц контрольных (надзорных) органов) осуществляется следующее: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определяется динамика уровня угроз ОД и ФТ в секторе (повысился, снизился, стабилен);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присваивается оценка уровню угроз ОД и ФТ для отдельных сегментов (видов деятельности) в секторе по 4-х уровневой шкале (высокий, повышенный, умеренный и низкий).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7.3. На этапе оценки уязвимости сектора рискам ОД и ФТ определяется возможность реализации угроз ОД и ФТ.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Уязвимости сектора рискам ОД и ФТ делятся на внутренние и внешние по отношению к сектору.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К внешним уязвимостям относятся факторы, определяющие подверженность сектора рискам ОД и ФТ в связи с:</w:t>
      </w:r>
    </w:p>
    <w:p w:rsidR="003777D1" w:rsidRDefault="003777D1">
      <w:pPr>
        <w:pStyle w:val="ConsPlusNormal"/>
        <w:spacing w:before="220"/>
        <w:ind w:firstLine="540"/>
        <w:jc w:val="both"/>
      </w:pPr>
      <w:proofErr w:type="spellStart"/>
      <w:r>
        <w:t>неурегулированностью</w:t>
      </w:r>
      <w:proofErr w:type="spellEnd"/>
      <w:r>
        <w:t xml:space="preserve"> законодательства (в том числе отсутствие требований о ПОД/ФТ/ФРОМУ, отсутствие контроля (надзора) в сфере ПОД/ФТ/ФРОМУ, осуществляемого в отношении субъектов аудиторской деятельности);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недостаточной эффективностью контрольной (надзорной) деятельности (в том числе недостатки в применении риск-ориентированного подхода, недостаточная ресурсная обеспеченность контроля (надзора) в сфере ПОД/ФТ/ФРОМУ, незначительное количество мероприятий по контролю (надзору) в сфере ПОД/ФТ/ФРОМУ);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низким уровнем охвата сектора системой противодействия ОД и ФТ.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К внутренним уязвимостям относятся факторы, определяющие подверженность сектора рискам ОД и ФТ в связи с: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низким (недостаточным) уровнем исполнения сектором требований законодательства Российской Федерации о ПОД/ФТ/ФРОМУ;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особенностями аудиторской деятельности, распространенностью и доступностью услуг, предоставляемых сектором;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структурой обслуживаемых клиентов.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Для оценки уровня исполнения требований законодательства Российской Федерации о ПОД/ФТ/ФРОМУ сектором используются следующие показатели: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а) динамика количества и доли субъектов аудиторской деятельности с низким уровнем риска неисполнения требований законодательства Российской Федерации о ПОД/ФТ/ФРОМУ в общем количестве субъектов аудиторской деятельности;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б) доля субъектов аудиторской деятельности, зарегистрировавших Личный кабинет на официальном сайте уполномоченного органа в информационно-телекоммуникационной сети "Интернет", в общем количестве субъектов аудиторской деятельности;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в) результаты контрольных (надзорных) мероприятий, проведенных Федеральным казначейством и саморегулируемой организацией аудиторов, в том числе: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доля проверок с выявленными нарушениями требований законодательства Российской Федерации о ПОД/ФТ/ФРОМУ в общем количестве проверок;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lastRenderedPageBreak/>
        <w:t>доля повторных проверок с выявленными нарушениями в общем количестве повторных проверок;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динамика количества и доли субъектов аудиторской деятельности, уклонившихся от устранения нарушений в общем количестве субъектов аудиторской деятельности, в отношении которых осуществлялись контрольные (надзорные) мероприятия.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В рамках данного этапа определяются основные (наиболее частые) нарушения, допущенные сектором.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Для оценки уровня информированности сектора о рисках ОД и ФТ, а также конкретных типологиях и признаках операций, которые могут осуществляться в целях ОД и ФТ, используются результаты анкетирования (опроса) субъектов аудиторской деятельности, а также оценка динамики доли субъектов аудиторской деятельности в секторе, информирующих о таких операциях.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итогам этого этапа на основе данных об уровне уязвимости сектора рискам ОД и ФТ, определенного по результатам предыдущей секторальной оценки рисков ОД и ФТ, а также результатов анализа статистических данных и результатов анкетирования (опроса) субъектов аудиторской деятельности, должностных лиц контрольных (надзорных) органов осуществляется следующее: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определяется динамика уровня уязвимостей сектора рискам ОД и ФТ (повысился, снизился, стабилен);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присваивается оценка уровню уязвимости отдельных сегментов (видов деятельности) сектора рискам ОД и ФТ по 3-х уровневой шкале (высокий, умеренный и низкий);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определяется перечень наиболее значимых уязвимостей сектора рискам ОД и ФТ и его отдельных сегментов (видов деятельности), а также мер (в том числе надзорных, законодательных, организационных) по их устранению (снижению их влияния).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Сопоставление (сочетание) угроз ОД и ФТ и уязвимостей рискам ОД и ФТ дает представление о вероятности, как потенциальной возможности возникновения событий, представляющих риск ОД и ФТ.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Уровень вероятности определяется на основе сопоставления угроз ОД и ФТ и уязвимостей рискам ОД и ФТ на основе схемы (матрицы) определения уровня вероятности возникновения рисков ОД и ФТ на основе сопоставления угроз ОД и ФТ и уязвимостей рискам ОД и ФТ (рис. 1).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7.4. На этапе оценки последствий материализации рисков ОД и ФТ может использоваться показатель суммы ущерба, нанесенного национальной экономике в результате совершения преступлений ОД и ФТ с использованием сектора. При формировании выводов о последствиях материализации рисков ОД и ФТ используются результаты анкетирования (опроса) субъектов аудиторской деятельности, должностных лиц контрольных (надзорных) органов.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Оценка уровня (значимости) последствий материализации рисков ОД и ФТ осуществляется по 3-х уровневой шкале (высокий, умеренный и низкий) на основе данных об уровне (значимости) последствий материализации рисков ОД и ФТ в секторе, определенных по результатам предыдущей оценки рисков ОД и ФТ, а также результатов анализа статистических данных и иной информации, полученной в ходе проведения СОР.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7.5. Оценка уровня риска ОД и ФТ в секторе, а также его отдельных сегментов осуществляется сотрудниками Федерального казначейства, обеспечивающими проведение СОР, а также формирование результатов СОР на основе: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lastRenderedPageBreak/>
        <w:t>а) последовательного сопоставления угроз ОД и ФТ, уязвимостей рискам ОД и ФТ и последствий материализации рисков ОД и ФТ в соответствии со схемой (матрицей) определения уровня вероятности возникновения рисков ОД и ФТ на основе сопоставления угроз ОД и ФТ и уязвимостей рискам ОД и ФТ, приведенной на рисунке 1, и схемой матрицей определения уровня риска ОД и ФТ на основе сопоставления вероятности возникновения рисков ОД и ФТ и последствий материализации рисков ОД и ФТ, приведенной на рисунке 2.</w:t>
      </w:r>
    </w:p>
    <w:p w:rsidR="003777D1" w:rsidRDefault="003777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2"/>
        <w:gridCol w:w="1411"/>
        <w:gridCol w:w="1618"/>
        <w:gridCol w:w="1618"/>
        <w:gridCol w:w="1618"/>
        <w:gridCol w:w="1621"/>
      </w:tblGrid>
      <w:tr w:rsidR="003777D1">
        <w:tc>
          <w:tcPr>
            <w:tcW w:w="2553" w:type="dxa"/>
            <w:gridSpan w:val="2"/>
            <w:vMerge w:val="restart"/>
            <w:vAlign w:val="center"/>
          </w:tcPr>
          <w:p w:rsidR="003777D1" w:rsidRDefault="003777D1">
            <w:pPr>
              <w:pStyle w:val="ConsPlusNormal"/>
            </w:pPr>
          </w:p>
        </w:tc>
        <w:tc>
          <w:tcPr>
            <w:tcW w:w="6475" w:type="dxa"/>
            <w:gridSpan w:val="4"/>
          </w:tcPr>
          <w:p w:rsidR="003777D1" w:rsidRDefault="003777D1">
            <w:pPr>
              <w:pStyle w:val="ConsPlusNormal"/>
              <w:jc w:val="center"/>
            </w:pPr>
            <w:r>
              <w:t>Оценка уровня угроз ОД и ФТ</w:t>
            </w:r>
          </w:p>
        </w:tc>
      </w:tr>
      <w:tr w:rsidR="003777D1">
        <w:tc>
          <w:tcPr>
            <w:tcW w:w="2553" w:type="dxa"/>
            <w:gridSpan w:val="2"/>
            <w:vMerge/>
          </w:tcPr>
          <w:p w:rsidR="003777D1" w:rsidRDefault="003777D1">
            <w:pPr>
              <w:pStyle w:val="ConsPlusNormal"/>
            </w:pPr>
          </w:p>
        </w:tc>
        <w:tc>
          <w:tcPr>
            <w:tcW w:w="1618" w:type="dxa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1618" w:type="dxa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1618" w:type="dxa"/>
          </w:tcPr>
          <w:p w:rsidR="003777D1" w:rsidRDefault="003777D1">
            <w:pPr>
              <w:pStyle w:val="ConsPlusNormal"/>
              <w:jc w:val="center"/>
            </w:pPr>
            <w:r>
              <w:t>Повышенный</w:t>
            </w:r>
          </w:p>
        </w:tc>
        <w:tc>
          <w:tcPr>
            <w:tcW w:w="1621" w:type="dxa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  <w:tr w:rsidR="003777D1">
        <w:tc>
          <w:tcPr>
            <w:tcW w:w="1142" w:type="dxa"/>
            <w:vMerge w:val="restart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Оценка уровня уязвимостей рискам ОД и ФТ</w:t>
            </w:r>
          </w:p>
        </w:tc>
        <w:tc>
          <w:tcPr>
            <w:tcW w:w="1411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1621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  <w:tr w:rsidR="003777D1">
        <w:tc>
          <w:tcPr>
            <w:tcW w:w="1142" w:type="dxa"/>
            <w:vMerge/>
          </w:tcPr>
          <w:p w:rsidR="003777D1" w:rsidRDefault="003777D1">
            <w:pPr>
              <w:pStyle w:val="ConsPlusNormal"/>
            </w:pPr>
          </w:p>
        </w:tc>
        <w:tc>
          <w:tcPr>
            <w:tcW w:w="1411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1621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  <w:tr w:rsidR="003777D1">
        <w:tc>
          <w:tcPr>
            <w:tcW w:w="1142" w:type="dxa"/>
            <w:vMerge/>
          </w:tcPr>
          <w:p w:rsidR="003777D1" w:rsidRDefault="003777D1">
            <w:pPr>
              <w:pStyle w:val="ConsPlusNormal"/>
            </w:pPr>
          </w:p>
        </w:tc>
        <w:tc>
          <w:tcPr>
            <w:tcW w:w="1411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1618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1621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</w:tbl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ind w:firstLine="540"/>
        <w:jc w:val="both"/>
      </w:pPr>
      <w:r>
        <w:t>Рис. 1. Схема (матрица) определения уровня вероятности возникновения рисков ОД и ФТ на основе сопоставления угроз ОД и ФТ и уязвимостей рискам ОД и ФТ.</w:t>
      </w:r>
    </w:p>
    <w:p w:rsidR="003777D1" w:rsidRDefault="003777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2"/>
        <w:gridCol w:w="1416"/>
        <w:gridCol w:w="2169"/>
        <w:gridCol w:w="2169"/>
        <w:gridCol w:w="2169"/>
      </w:tblGrid>
      <w:tr w:rsidR="003777D1">
        <w:tc>
          <w:tcPr>
            <w:tcW w:w="2558" w:type="dxa"/>
            <w:gridSpan w:val="2"/>
            <w:vMerge w:val="restart"/>
            <w:vAlign w:val="center"/>
          </w:tcPr>
          <w:p w:rsidR="003777D1" w:rsidRDefault="003777D1">
            <w:pPr>
              <w:pStyle w:val="ConsPlusNormal"/>
            </w:pPr>
          </w:p>
        </w:tc>
        <w:tc>
          <w:tcPr>
            <w:tcW w:w="6507" w:type="dxa"/>
            <w:gridSpan w:val="3"/>
          </w:tcPr>
          <w:p w:rsidR="003777D1" w:rsidRDefault="003777D1">
            <w:pPr>
              <w:pStyle w:val="ConsPlusNormal"/>
              <w:jc w:val="center"/>
            </w:pPr>
            <w:r>
              <w:t>Оценка уровня вероятности возникновения рисков ОД и ФТ</w:t>
            </w:r>
          </w:p>
        </w:tc>
      </w:tr>
      <w:tr w:rsidR="003777D1">
        <w:tc>
          <w:tcPr>
            <w:tcW w:w="2558" w:type="dxa"/>
            <w:gridSpan w:val="2"/>
            <w:vMerge/>
          </w:tcPr>
          <w:p w:rsidR="003777D1" w:rsidRDefault="003777D1">
            <w:pPr>
              <w:pStyle w:val="ConsPlusNormal"/>
            </w:pPr>
          </w:p>
        </w:tc>
        <w:tc>
          <w:tcPr>
            <w:tcW w:w="2169" w:type="dxa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2169" w:type="dxa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2169" w:type="dxa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  <w:tr w:rsidR="003777D1">
        <w:tc>
          <w:tcPr>
            <w:tcW w:w="1142" w:type="dxa"/>
            <w:vMerge w:val="restart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Оценка уровня последствий материализации рисков ОД и ФТ</w:t>
            </w:r>
          </w:p>
        </w:tc>
        <w:tc>
          <w:tcPr>
            <w:tcW w:w="1416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Низкий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  <w:tr w:rsidR="003777D1">
        <w:tc>
          <w:tcPr>
            <w:tcW w:w="1142" w:type="dxa"/>
            <w:vMerge/>
          </w:tcPr>
          <w:p w:rsidR="003777D1" w:rsidRDefault="003777D1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Умеренный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  <w:tr w:rsidR="003777D1">
        <w:tc>
          <w:tcPr>
            <w:tcW w:w="1142" w:type="dxa"/>
            <w:vMerge/>
          </w:tcPr>
          <w:p w:rsidR="003777D1" w:rsidRDefault="003777D1">
            <w:pPr>
              <w:pStyle w:val="ConsPlusNormal"/>
            </w:pPr>
          </w:p>
        </w:tc>
        <w:tc>
          <w:tcPr>
            <w:tcW w:w="1416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  <w:tc>
          <w:tcPr>
            <w:tcW w:w="2169" w:type="dxa"/>
            <w:vAlign w:val="center"/>
          </w:tcPr>
          <w:p w:rsidR="003777D1" w:rsidRDefault="003777D1">
            <w:pPr>
              <w:pStyle w:val="ConsPlusNormal"/>
              <w:jc w:val="center"/>
            </w:pPr>
            <w:r>
              <w:t>Высокий</w:t>
            </w:r>
          </w:p>
        </w:tc>
      </w:tr>
    </w:tbl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ind w:firstLine="540"/>
        <w:jc w:val="both"/>
      </w:pPr>
      <w:r>
        <w:t>Рис. 2. Схема (матрица) определения уровня риска ОД и ФТ на основе сопоставления вероятности возникновения рисков ОД и ФТ и последствий материализации рисков ОД и ФТ.</w:t>
      </w:r>
    </w:p>
    <w:p w:rsidR="003777D1" w:rsidRDefault="003777D1">
      <w:pPr>
        <w:pStyle w:val="ConsPlusNormal"/>
        <w:jc w:val="both"/>
      </w:pPr>
    </w:p>
    <w:p w:rsidR="003777D1" w:rsidRDefault="003777D1">
      <w:pPr>
        <w:pStyle w:val="ConsPlusNormal"/>
        <w:ind w:firstLine="540"/>
        <w:jc w:val="both"/>
      </w:pPr>
      <w:r>
        <w:t>б) анализа уполномоченным органом сведений, получаемых от кредитных организаций в отношении сектора, и включающих следующие показатели: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динамика объема операций, представленных кредитными организациями в отношении субъектов аудиторской деятельности, в соответствии с </w:t>
      </w:r>
      <w:hyperlink r:id="rId9">
        <w:r>
          <w:rPr>
            <w:color w:val="0000FF"/>
          </w:rPr>
          <w:t>пунктом 3 статьи 7</w:t>
        </w:r>
      </w:hyperlink>
      <w:r>
        <w:t xml:space="preserve"> Федерального закона N 115-ФЗ и количества участников таких операций;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динамика объема операций с участием субъектов аудиторской деятельности, в отношении которых кредитными организациями было применено право на отказ в проведении операций в соответствии с </w:t>
      </w:r>
      <w:hyperlink r:id="rId10">
        <w:r>
          <w:rPr>
            <w:color w:val="0000FF"/>
          </w:rPr>
          <w:t>пунктом 11 статьи 7</w:t>
        </w:r>
      </w:hyperlink>
      <w:r>
        <w:t xml:space="preserve"> Федерального закона N 115-ФЗ;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динамика количества случаев применения кредитными организациями в отношении субъектов аудиторской деятельности права на отказ от заключения договора банковского счета (вклада), и расторжение договора банковского счета (вклада) в соответствии с </w:t>
      </w:r>
      <w:hyperlink r:id="rId11">
        <w:r>
          <w:rPr>
            <w:color w:val="0000FF"/>
          </w:rPr>
          <w:t>пунктом 5.2 статьи 7</w:t>
        </w:r>
      </w:hyperlink>
      <w:r>
        <w:t xml:space="preserve"> Федерального закона N 115-ФЗ;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динамика количества и доли субъектов аудиторской деятельности, отнесенных к высокому и повышенному уровням риска несоблюдения требований законодательства Российской Федерации </w:t>
      </w:r>
      <w:r>
        <w:lastRenderedPageBreak/>
        <w:t>о ПОД/ФТ/ФРОМУ, в общем количестве субъектов аудиторской деятельности;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в) результатов анкетирования (опроса) субъектов аудиторской деятельности, должностных лиц контрольных (надзорных) органов.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По результатам данного этапа определяется динамика уровня риска ОД и ФТ в секторе, а также уровень подверженности рискам ОД и ФТ сегментов (видов деятельности) сектора.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7.6. Федеральное казначейство организует обсуждение результатов СОР с представителями уполномоченного органа, саморегулируемой организации аудиторов, сектора в том числе в форме </w:t>
      </w:r>
      <w:proofErr w:type="spellStart"/>
      <w:r>
        <w:t>вебинаров</w:t>
      </w:r>
      <w:proofErr w:type="spellEnd"/>
      <w:r>
        <w:t xml:space="preserve"> и круглых столов.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Результаты обсуждения учитываются при подготовке отчета о результатах СОР, осуществляемого с участием саморегулируемой организации аудиторов.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8. По результатам оценки рисков ОД и ФТ формируется перечень рекомендуемых мер по снижению рисков ОД и ФТ в секторе, включающий: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меры на межведомственном уровне;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предложения по совершенствованию законодательства Российской Федерации;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предложения по корректировке организации (планирования) и осуществления контрольной (надзорной) деятельности.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Результаты оценки динамики и уровня угроз ОД и ФТ, уязвимостей рискам ОД и ФТ, последствий материализации рисков ОД и ФТ и рисков ОД и ФТ в секторе, а также рекомендуемые меры по снижению указанных рисков оформляются в виде отчета о результатах СОР.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Отчет о результатах СОР оформляется в срок, установленный актом.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9. Отчет о результатах СОР включает следующие разделы: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общая характеристика сектора;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характеристика угроз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характеристика уязвимостей сектора рискам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характеристика последствий материализации рисков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сравнительная оценка уровня риска ОД и ФТ в отдельных сегментах (видах деятельности) сектора, актуальные типологии и схемы ОД и ФТ;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рекомендуемые меры по снижению рисков ОД и ФТ в секторе.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10. В отчет о результатах СОР может включаться информация о новых типологиях (схемах) ОД и ФТ, которые реализуются с использованием сектора.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11. Результаты СОР представляются для рассмотрения и одобрения в Межведомственную комиссию.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 xml:space="preserve">12. На основе отчета о результатах СОР формируется его публичная версия, размещаемая на официальном сайте Федерального казначейства в информационно-телекоммуникационной сети "Интернет" в срок не позднее 5 рабочих дней со дня одобрения Межведомственной комиссией. Публичная версия отчета о результатах СОР направляется в саморегулируемую организацию аудиторов не позднее дня, следующего за днем одобрения отчета о результатах СОР </w:t>
      </w:r>
      <w:r>
        <w:lastRenderedPageBreak/>
        <w:t>Межведомственной комиссией.</w:t>
      </w:r>
    </w:p>
    <w:p w:rsidR="003777D1" w:rsidRDefault="003777D1">
      <w:pPr>
        <w:pStyle w:val="ConsPlusNormal"/>
        <w:spacing w:before="220"/>
        <w:ind w:firstLine="540"/>
        <w:jc w:val="both"/>
      </w:pPr>
      <w:r>
        <w:t>13. Публичная версия отчета о результатах СОР содержит информацию о результатах СОР, за исключением конфиденциальной информации и информации, составляющей служебную, аудиторскую и иную охраняемую законом тайну.</w:t>
      </w:r>
    </w:p>
    <w:p w:rsidR="006D30C4" w:rsidRDefault="003777D1" w:rsidP="003777D1">
      <w:pPr>
        <w:pStyle w:val="ConsPlusNormal"/>
        <w:spacing w:before="220"/>
        <w:ind w:firstLine="540"/>
        <w:jc w:val="both"/>
      </w:pPr>
      <w:r>
        <w:t>14. Информация о проведении СОР, периоде, за который она проводится, контактных лицах, формах участия в подготовке и обсуждении результатов СОР размещается на официальном сайте Федерального казначейства в информационно-телекоммуникационной сети "Интернет" в срок не позднее чем за 2 месяца до начала ее проведения.</w:t>
      </w:r>
    </w:p>
    <w:sectPr w:rsidR="006D30C4" w:rsidSect="00FB6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7D1"/>
    <w:rsid w:val="003777D1"/>
    <w:rsid w:val="006D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130AF-2272-4BC1-8B3F-8A3188FF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77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7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77D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56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56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6888&amp;dst=100008" TargetMode="External"/><Relationship Id="rId11" Type="http://schemas.openxmlformats.org/officeDocument/2006/relationships/hyperlink" Target="https://login.consultant.ru/link/?req=doc&amp;base=LAW&amp;n=523565&amp;dst=100315" TargetMode="External"/><Relationship Id="rId5" Type="http://schemas.openxmlformats.org/officeDocument/2006/relationships/hyperlink" Target="https://login.consultant.ru/link/?req=doc&amp;base=LAW&amp;n=519873&amp;dst=36" TargetMode="External"/><Relationship Id="rId10" Type="http://schemas.openxmlformats.org/officeDocument/2006/relationships/hyperlink" Target="https://login.consultant.ru/link/?req=doc&amp;base=LAW&amp;n=523565&amp;dst=685" TargetMode="External"/><Relationship Id="rId4" Type="http://schemas.openxmlformats.org/officeDocument/2006/relationships/hyperlink" Target="https://login.consultant.ru/link/?req=doc&amp;base=LAW&amp;n=523565&amp;dst=616" TargetMode="External"/><Relationship Id="rId9" Type="http://schemas.openxmlformats.org/officeDocument/2006/relationships/hyperlink" Target="https://login.consultant.ru/link/?req=doc&amp;base=LAW&amp;n=523565&amp;dst=8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3263</Words>
  <Characters>18605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Анна Вячеславовна</dc:creator>
  <cp:keywords/>
  <dc:description/>
  <cp:lastModifiedBy>Романовская Анна Вячеславовна</cp:lastModifiedBy>
  <cp:revision>1</cp:revision>
  <dcterms:created xsi:type="dcterms:W3CDTF">2026-02-04T08:12:00Z</dcterms:created>
  <dcterms:modified xsi:type="dcterms:W3CDTF">2026-02-04T08:13:00Z</dcterms:modified>
</cp:coreProperties>
</file>